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rPr>
          <w:b/>
          <w:sz w:val="26"/>
        </w:rPr>
        <w:t>REGISTAR ZAPAŽANJA S DOKUMENTACIJSKOG AUDITA I POSTUPANJE</w:t>
      </w:r>
    </w:p>
    <w:p>
      <w:r>
        <w:rPr>
          <w:b w:val="0"/>
        </w:rPr>
        <w:t>TEHMA d.o.o., Zadar</w:t>
      </w:r>
    </w:p>
    <w:p>
      <w:r>
        <w:rPr>
          <w:b w:val="0"/>
        </w:rPr>
        <w:t>Oznaka dokumenta: REG-ZAP-01</w:t>
      </w:r>
    </w:p>
    <w:p>
      <w:r>
        <w:rPr>
          <w:b w:val="0"/>
        </w:rPr>
        <w:t xml:space="preserve">Verzija: 1.2</w:t>
      </w:r>
    </w:p>
    <w:p>
      <w:r>
        <w:rPr>
          <w:b w:val="0"/>
        </w:rPr>
        <w:t xml:space="preserve">Datum: 25.09.2026.</w:t>
      </w:r>
    </w:p>
    <w:p>
      <w:r>
        <w:rPr>
          <w:b w:val="0"/>
        </w:rPr>
        <w:t>Vlasnik dokumenta: Rinalda Kalmeta, predstavnik uprave (MR)</w:t>
      </w:r>
    </w:p>
    <w:p>
      <w:r>
        <w:rPr>
          <w:b w:val="0"/>
        </w:rPr>
        <w:t>Povezani dokumenti: PROG-PB (Program poboljšanja IMS-a), Lista nalaza DNV od 07.09.2026.</w:t>
      </w:r>
    </w:p>
    <w:p>
      <w:r>
        <w:rPr>
          <w:b w:val="0"/>
        </w:rPr>
        <w:t>Svrha: evidentirati zapažanja s dokumentacijskog audita i radnje po njima, kako se ista tema ne bi ponovila na certifikacijskom auditu (Faza 2, 05. do 07.10.2026.).</w:t>
      </w:r>
    </w:p>
    <w:p>
      <w:pPr>
        <w:pStyle w:val="Heading1"/>
      </w:pPr>
      <w:r>
        <w:rPr>
          <w:b w:val="0"/>
        </w:rPr>
        <w:t>1. Zapažanja s audita</w:t>
      </w:r>
    </w:p>
    <w:p>
      <w:r>
        <w:rPr>
          <w:b w:val="0"/>
        </w:rPr>
        <w:t>Tekst zapažanja prenesen je iz Liste nalaza DNV-a od 06.09.2026. (pronalasci RENRAJ-0001, 0003, 0004 i 0009). Odgovori na nesukladnosti 0002, 0005, 0006, 0007 i 0008 unose se u Listu nalaza i My Certification Portal, ovdje se ne ponavljaju.</w:t>
      </w:r>
    </w:p>
    <w:tbl>
      <w:tblPr>
        <w:tblStyle w:val="GridTable3-Accent2"/>
        <w:tblW w:type="auto" w:w="0"/>
        <w:tblLook w:firstColumn="1" w:firstRow="1" w:lastColumn="0" w:lastRow="0" w:noHBand="0" w:noVBand="1" w:val="04A0"/>
      </w:tblPr>
      <w:tblGrid>
        <w:gridCol w:w="1605"/>
        <w:gridCol w:w="1605"/>
        <w:gridCol w:w="1605"/>
        <w:gridCol w:w="1605"/>
        <w:gridCol w:w="1605"/>
        <w:gridCol w:w="1605"/>
      </w:tblGrid>
      <w:tr>
        <w:tc>
          <w:tcPr>
            <w:tcW w:type="dxa" w:w="1605"/>
          </w:tcPr>
          <w:p>
            <w:r/>
            <w:r>
              <w:rPr>
                <w:b/>
              </w:rPr>
              <w:t>Oznaka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Tekst zapažanja (prepisati iz Liste nalaza)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Radnja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Nositelj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Rok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605"/>
          </w:tcPr>
          <w:p>
            <w:r/>
            <w:r>
              <w:rPr>
                <w:b w:val="0"/>
              </w:rPr>
              <w:t>0001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Poboljšanje u dokumentiranju konteksta organizacije i zahtjeva zainteresiranih strana vezano uz klimatske promjene (ISO 9001/14001, t. 4.1 i 4.2). Organizacija navodi utjecaj klimatskih i okolišnih faktora, ali razmatranje klimatskih promjena i povezanih očekivanja dionika nije jasno dokumentirano.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Izdati Priručnik IMS-a v1.2 s izričitim razmatranjem klimatskih promjena kao vanjskog pitanja i ocjenom relevantnosti za izvođenje radova; dopuniti registar zainteresiranih strana (list REG-DION) očekivanjima povezanima s klimatskim promjenama i načinom praćenja; uvrstiti temu kao stalnu točku dnevnog reda upravine ocjene.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MR i konzultant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 xml:space="preserve">Provedeno 25.09.2026.: Priručnik v1.2 (pogl. 3.2), REG-DION u TEHMA-IMS-Registru v1.1, PROC-M1 v1.1 (stalna točka), OBR-IA-IMS-01 v1.1. Čeka odobrenje direktora; učinkovitost se provjerava na sljedećoj upravinoj ocjeni.</w:t>
            </w:r>
          </w:p>
        </w:tc>
      </w:tr>
      <w:tr>
        <w:tc>
          <w:tcPr>
            <w:tcW w:type="dxa" w:w="1605"/>
          </w:tcPr>
          <w:p>
            <w:r/>
            <w:r>
              <w:rPr>
                <w:b w:val="0"/>
              </w:rPr>
              <w:t>0003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Poboljšanje u upravljanju rizicima i prilikama (t. 6.1). Registri rizika (RIZ-IMS-01, IMS-RISK-ENV i list MATR-RIZ) sadrže različite skupove rizika i različite kriterije ocjenjivanja, pa podaci nisu usklađeni. Prilike su ograničeno evidentirane.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Objediniti sadržaj svih evidencija u jedan mjerodavni registar TEHMA-RIZ-IMS-01, s jedinstvenim kriterijem ocjene i pragom značajnosti; paralelne evidencije označiti kao zastarjele; unijeti prilike, najmanje jednu po ključnom procesu; u Priručniku i PROC-IMS-01 odrediti koji je registar mjerodavan.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MR i konzultant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 xml:space="preserve">Provedeno 25.09.2026.: TEHMA-RIZ-IMS-01 v1.1 (objedinjeni registar s prilikama), MATR-RIZ i IMS-RISK-ENV označeni zastarjelima, PROC-IMS-01 v1.1. Čeka odobrenje direktora.</w:t>
            </w:r>
          </w:p>
        </w:tc>
      </w:tr>
      <w:tr>
        <w:tc>
          <w:tcPr>
            <w:tcW w:type="dxa" w:w="1605"/>
          </w:tcPr>
          <w:p>
            <w:r/>
            <w:r>
              <w:rPr>
                <w:b w:val="0"/>
              </w:rPr>
              <w:t>0004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Poboljšanje u upravljanju okolišnim aspektima (ISO 14001, t. 6.1.2). Dokumenti PROC-IMS-07, AO-IMS-01 i list REG-AO sadrže različite skupove aspekata i različite metodologije vrednovanja značajnosti, pa podaci nisu usklađeni.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Objediniti aspekte u jednu mjerodavnu matricu TEHMA-AO-IMS-01; u PROC-IMS-07 opisati metodologiju vrednovanja, kriterije i prag značajnosti; za svaku aktivnost navesti aspekt, utjecaj, uvjete nastanka (redovni, izvanredni, izvanredna situacija) i obrazloženje ocjene.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HSE referent, MR i konzultant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 xml:space="preserve">Provedeno 25.09.2026.: TEHMA-AO-IMS-01 v1.1, PROC-IMS-07 v1.1 (metodologija i prag značajnosti), REG-AO označen zastarjelim. Čeka odobrenje direktora.</w:t>
            </w:r>
          </w:p>
        </w:tc>
      </w:tr>
      <w:tr>
        <w:tc>
          <w:tcPr>
            <w:tcW w:type="dxa" w:w="1605"/>
          </w:tcPr>
          <w:p>
            <w:r/>
            <w:r>
              <w:rPr>
                <w:b w:val="0"/>
              </w:rPr>
              <w:t>0009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Poboljšanje u upravljanju i ažuriranju zakonskih i drugih zahtjeva (ISO 14001, t. 6.1.3; ISO 9001, t. 7.5.3). U FRM-IMS-08, PUZ-IMS-01 i Priručniku pojedini propisi nisu ažurirani: Zakon o održivom gospodarenju otpadom više nije na snazi, a Zakon o gradnji i Zakon o prostornom uređenju navedeni su sa zastarjelim referencama.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Ažurirati registar zakonskih zahtjeva i procjenu usklađenosti na važeća izdanja propisa, ukloniti zastarjele reference i iz Priručnika, uz upis datuma zadnje provjere po svakom propisu; uvesti preispitivanje registra najmanje dvaput godišnje i pri svakoj izmjeni propisa.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 xml:space="preserve">Provedeno 25.09.2026.: FRM-IMS-08 v1.1 (27 propisa, važeća izdanja, datum provjere po propisu), PUZ usklađen, PROC-IMS-07 v1.1 (preispitivanje dvaput godišnje). Čeka odobrenje direktora.</w:t>
            </w:r>
          </w:p>
        </w:tc>
      </w:tr>
    </w:tbl>
    <w:p>
      <w:pPr>
        <w:pStyle w:val="Heading1"/>
      </w:pPr>
      <w:r>
        <w:rPr>
          <w:b w:val="0"/>
        </w:rPr>
        <w:t>2. Uobičajene teme zapažanja na pregledu dokumentacije i pripadajuće radnje</w:t>
      </w:r>
    </w:p>
    <w:p>
      <w:r>
        <w:rPr>
          <w:b w:val="0"/>
        </w:rPr>
        <w:t>Ovo nisu zapažanja DNV-a, nego popis tema koje se na Fazi 1 najčešće javljaju kod sustava ISO 9001 i ISO 14001 u građevinskoj djelatnosti, s radnjom koja takvo zapažanje zatvara. Kad se pročita tekst zapažanja iz Liste nalaza, odabire se odgovarajuća radnja i prepisuje u tablicu iz poglavlja 1.</w:t>
      </w:r>
    </w:p>
    <w:tbl>
      <w:tblPr>
        <w:tblStyle w:val="GridTable3-Accent2"/>
        <w:tblW w:type="auto" w:w="0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3211"/>
          </w:tcPr>
          <w:p>
            <w:r/>
            <w:r>
              <w:rPr>
                <w:b/>
              </w:rPr>
              <w:t>Tema</w:t>
            </w:r>
          </w:p>
        </w:tc>
        <w:tc>
          <w:tcPr>
            <w:tcW w:type="dxa" w:w="3211"/>
          </w:tcPr>
          <w:p>
            <w:r/>
            <w:r>
              <w:rPr>
                <w:b/>
              </w:rPr>
              <w:t>Točka norme</w:t>
            </w:r>
          </w:p>
        </w:tc>
        <w:tc>
          <w:tcPr>
            <w:tcW w:type="dxa" w:w="3211"/>
          </w:tcPr>
          <w:p>
            <w:r/>
            <w:r>
              <w:rPr>
                <w:b/>
              </w:rPr>
              <w:t>Radnja koja zatvara zapažanje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Kontekst i zainteresirane strane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4.1, 4.2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Dopuniti maticu dionika očekivanjima i načinom praćenja; pregled jednom godišnje na upravinoj ocjeni.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Ciljevi bez mjerila ili rokova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6.2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Svakom cilju dodati pokazatelj, ciljnu vrijednost, nositelja i rok; pratiti na upravinoj ocjeni.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Kriteriji značajnosti okolišnih aspekata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6.1.2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U matricu aspekata upisati metodu ocjene značajnosti i pragove, te obrazložiti ocjenu za svaki značajan aspekt.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Obveze sukladnosti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6.1.3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U registar zakonskih zahtjeva dodati stupac s ocjenom primjenjivosti i datumom zadnje provjere usklađenosti.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Osposobljenost i svijest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7.2, 7.3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Uspostaviti matricu potrebnih osposobljenosti po radnom mjestu i dopuniti dosjee zapisima o obuci.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Komunikacija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7.4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Razraditi plan interne i vanjske komunikacije: što, kome, kada, tko i kojim kanalom.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Upravljanje dokumentiranim informacijama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7.5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Uskladiti oznake i verzije, označiti zastarjele dokumente i voditi registar dokumenata s datumom izdanja.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Praćenje i mjerenje procesa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9.1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Odrediti pokazatelje učinkovitosti za ključne procese i način praćenja, s prikazom na upravinoj ocjeni.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Norme za proizvod i izvedbu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8.5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Provjeriti primjenjivost normi za izvedbu radova koje tvrtka stvarno izvodi i upisati ih u registar zakonskih zahtjeva.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Upravljanje promjenama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6.3, 8.5.6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Opisati postupak postupanja s izmjenama projekta i dokumentirati odobrenje izmjene.</w:t>
            </w:r>
          </w:p>
        </w:tc>
      </w:tr>
    </w:tbl>
    <w:p>
      <w:pPr>
        <w:pStyle w:val="Heading1"/>
      </w:pPr>
      <w:r>
        <w:rPr>
          <w:b w:val="0"/>
        </w:rPr>
        <w:t>3. Način zatvaranja</w:t>
      </w:r>
    </w:p>
    <w:p>
      <w:r>
        <w:rPr>
          <w:b w:val="0"/>
        </w:rPr>
        <w:t>Za svako zapažanje potrebno je: upisati radnju s nositeljem i rokom u ovaj registar i u PROG-PB, provesti radnju, priložiti dokaz provedbe te evidentirati datum zatvaranja. Na Fazi 2 auditor traži upravo taj trag: da je zapažanje primljeno, obrađeno i zatvoreno, a ne da je ostalo bez odgovora.</w:t>
      </w:r>
    </w:p>
    <w:sectPr w:rsidR="00A35864" w:rsidSect="001A6E01">
      <w:headerReference w:type="default" r:id="rId8"/>
      <w:footerReference w:type="default" r:id="rId9"/>
      <w:headerReference w:type="first" r:id="rId12"/>
      <w:headerReference w:type="even" r:id="rId13"/>
      <w:footerReference w:type="first" r:id="rId14"/>
      <w:pgSz w:w="11900" w:h="16840"/>
      <w:pgMar w:top="1134" w:right="1134" w:bottom="13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C0B2" w14:textId="77777777" w:rsidR="007220C0" w:rsidRDefault="007220C0" w:rsidP="00E637EC">
      <w:r>
        <w:separator/>
      </w:r>
    </w:p>
  </w:endnote>
  <w:endnote w:type="continuationSeparator" w:id="0">
    <w:p w14:paraId="7BB8B8CD" w14:textId="77777777" w:rsidR="007220C0" w:rsidRDefault="007220C0" w:rsidP="00E6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913F" w14:textId="45F0E508" w:rsidR="00E637EC" w:rsidRDefault="009C5215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A54BEE" wp14:editId="1EA938BB">
              <wp:simplePos x="0" y="0"/>
              <wp:positionH relativeFrom="column">
                <wp:posOffset>347</wp:posOffset>
              </wp:positionH>
              <wp:positionV relativeFrom="paragraph">
                <wp:posOffset>-168852</wp:posOffset>
              </wp:positionV>
              <wp:extent cx="6199505" cy="361315"/>
              <wp:effectExtent l="0" t="0" r="0" b="6985"/>
              <wp:wrapNone/>
              <wp:docPr id="1312485332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9505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9BF80" w14:textId="0EF5007E" w:rsidR="00E637EC" w:rsidRPr="009C5215" w:rsidRDefault="00A35864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A35864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Evidencija i evaluacija dobavljača / podizvođača</w:t>
                          </w:r>
                          <w:r w:rsidRPr="00A35864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  <w:p w14:paraId="2A847F59" w14:textId="77777777" w:rsidR="00E637EC" w:rsidRPr="009C5215" w:rsidRDefault="00E637E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v1.0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A54BEE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.05pt;margin-top:-13.3pt;width:488.15pt;height:2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QB6zaAIAADkFAAAOAAAAZHJzL2Uyb0RvYy54bWysVEuP2yAQvlfqf0DcG8d5tbHirNKsUlVa&#13;&#10;7a6arfZMMCRWMUOBxE5/fQfsPJT2slUvMMx8855hdtdUihyEdSXonKa9PiVCcyhKvc3p95fVh0+U&#13;&#10;OM90wRRokdOjcPRu/v7drDaZGMAOVCEsQSPaZbXJ6c57kyWJ4ztRMdcDIzQKJdiKeXzabVJYVqP1&#13;&#10;SiWDfn+S1GALY4EL55B73wrpPNqXUnD/JKUTnqicYmw+njaem3Am8xnLtpaZXcm7MNg/RFGxUqPT&#13;&#10;s6l75hnZ2/IPU1XJLTiQvsehSkDKkouYA2aT9m+yWe+YETEXLI4z5zK5/2eWPx7W5tkS33yGBhsY&#13;&#10;ClIblzlkhnwaaatwY6QE5VjC47lsovGEI3OSTqfj/pgSjrLhJB2m42AmuWgb6/wXARUJRE4ttiVW&#13;&#10;ix0enG+hJ0hwpmFVKhVbozSp0cNw3I8KZwkaVzpgRWxyZ+YSeaT8UYmAUfqbkKQsYgKBEcdLLJUl&#13;&#10;B4aDwTgX2sfco11EB5TEIN6i2OEvUb1Fuc3j5Bm0PytXpQYbs78Ju/hxClm2eKz5Vd6B9M2m6Tq6&#13;&#10;geKIjbbQ7oAzfFViNx6Y88/M4tBjb3GR/RMeUgFWHTqKkh3YX3/jBzzOIkopqXGJcup+7pkVlKiv&#13;&#10;Gqd0mo5GYeviYzT+OMCHvZZs4gO5el8tAVuR4ndheCQD1qsTKS1Ur7jri+ARRUxz9JvTzYlc+nat&#13;&#10;8a/gYrGIINwxw/yDXhseTIfOhDl7aV6ZNd0wehzjRzitGstuZrLFBk0Ni70HWcaBDcVtK9oVHfcz&#13;&#10;jnz3l4QP4PodUZcfb/4bAAD//wMAUEsDBBQABgAIAAAAIQA/cJEG4AAAAAwBAAAPAAAAZHJzL2Rv&#13;&#10;d25yZXYueG1sTE89T8MwFNyR+A/WQ2JrHRJkII1TVUWIrRKlHdjc+BEH4ufIdtrAr8edynLS6XRf&#13;&#10;1XKyPTuiD50jCXfzDBhS43RHrYTd+8vsEViIirTqHaGEHwywrK+vKlVqd6I3PG5jy1IIhVJJMDEO&#13;&#10;JeehMWhVmLsBKWmfzlsVE/Ut116dUrjteZ5lglvVUWowasC1weZ7O1oJfr/JV+uvj/2Yv/Lf1uzG&#13;&#10;QouNlLc30/MiwWoBLOIULw44f0j7oU7DDm4kHVh/5ixKmOVCAEvy04O4B3aQUGQF8Lri/0/UfwAA&#13;&#10;AP//AwBQSwECLQAUAAYACAAAACEAtoM4kv4AAADhAQAAEwAAAAAAAAAAAAAAAAAAAAAAW0NvbnRl&#13;&#10;bnRfVHlwZXNdLnhtbFBLAQItABQABgAIAAAAIQA4/SH/1gAAAJQBAAALAAAAAAAAAAAAAAAAAC8B&#13;&#10;AABfcmVscy8ucmVsc1BLAQItABQABgAIAAAAIQAnQB6zaAIAADkFAAAOAAAAAAAAAAAAAAAAAC4C&#13;&#10;AABkcnMvZTJvRG9jLnhtbFBLAQItABQABgAIAAAAIQA/cJEG4AAAAAwBAAAPAAAAAAAAAAAAAAAA&#13;&#10;AMIEAABkcnMvZG93bnJldi54bWxQSwUGAAAAAAQABADzAAAAzwUAAAAA&#13;&#10;" filled="f" stroked="f" strokeweight=".5pt">
              <v:textbox inset=",,,0">
                <w:txbxContent>
                  <w:p w14:paraId="6789BF80" w14:textId="0EF5007E" w:rsidR="00E637EC" w:rsidRPr="009C5215" w:rsidRDefault="00A35864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A35864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Evidencija i evaluacija dobavljača / podizvođača</w:t>
                    </w:r>
                    <w:r w:rsidRPr="00A35864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 xml:space="preserve"> </w:t>
                    </w:r>
                  </w:p>
                  <w:p w14:paraId="2A847F59" w14:textId="77777777" w:rsidR="00E637EC" w:rsidRPr="009C5215" w:rsidRDefault="00E637E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v1.0</w:t>
                    </w:r>
                  </w:p>
                </w:txbxContent>
              </v:textbox>
            </v:shape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7C62F04" wp14:editId="246A9809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57FFD" w14:textId="77777777" w:rsidR="00E637EC" w:rsidRPr="00397DFB" w:rsidRDefault="00E637EC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7" style="position:absolute;margin-left:0;margin-top:-1.75pt;width:36pt;height:25.2pt;z-index:25165721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DKKkAIAAHgFAAAOAAAAZHJzL2Uyb0RvYy54bWysVEtv2zAMvg/YfxB0Xx137dYFdYogbYcB&#13;&#10;RVu0HXpWZCk2IIsapcTOfv0o+ZGu6y7DclAok/z40EeeX3SNYTuFvgZb8PxoxpmyEsrabgr+/en6&#13;&#10;wxlnPghbCgNWFXyvPL9YvH933rq5OoYKTKmQEYj189YVvArBzbPMy0o1wh+BU5aUGrARga64yUoU&#13;&#10;LaE3JjuezT5lLWDpEKTynr5e9kq+SPhaKxnutPYqMFNwyi2kE9O5jme2OBfzDQpX1XJIQ/xDFo2o&#13;&#10;LQWdoC5FEGyL9R9QTS0RPOhwJKHJQOtaqlQDVZPPXlXzWAmnUi3UHO+mNvn/Bytvd4/uHqkNrfNz&#13;&#10;T2KsotPYxH/Kj3WpWfupWaoLTNLHk9PP9ACcSVJ9JOkkNTM7ODv04auChkWh4EhvkVokdjc+UEAy&#13;&#10;HU1iLA+mLq9rY9IFN+uVQbYT9G6rq/wsv4pPRS6/mRnLWop+llMi0c1CBOgNjSX7Q1FJCnujop2x&#13;&#10;D0qzuqQyjpNj4puaIgoplQ15r6pEqfpETmf0G/OIDI0eKasEGJE1xZ+wB4DRsgcZsfssB/voqhJd&#13;&#10;J+e+or8k1jtPHiky2DA5N7UFfKsyQ1UNkXv7sUl9a2KXQrfuqDc0zdEyfllDub9HhtCPj3fyuqY3&#13;&#10;vRE+3AukeSEa0A4Id3RoA/QkMEicVYA/3/oe7YnGpOWspfkruP+xFag4M98sEfxLfkKMYiFdEtc4&#13;&#10;w5ea9UuN3TYrIKrktG2cTCI5YzCjqBGaZ1oVyxiVVMJKil3w9SiuQr8VaNVItVwmIxpRJ8KNfXQy&#13;&#10;QscuR8Y+dc8C3UDrQPNwC+Okivkrdve20dPCchtA14n6h64O/afxTkQaVlHcHy/vyeqwMBe/AAAA&#13;&#10;//8DAFBLAwQUAAYACAAAACEA/xIu/uEAAAAKAQAADwAAAGRycy9kb3ducmV2LnhtbEyPQUvDQBCF&#13;&#10;74L/YRnBW7uxpqmmmRTRepCK0urF2yQZk2B2N2S3beyvdzzpZeDxeG/el61G06kDD751FuFqGoFi&#13;&#10;W7qqtTXC+9vj5AaUD2Qr6pxlhG/2sMrPzzJKK3e0Wz7sQq2kxPqUEJoQ+lRrXzZsyE9dz1a8TzcY&#13;&#10;CiKHWlcDHaXcdHoWRYk21Fr50FDP9w2XX7u9QUhe6eW0SVxc6tOaTPz89FGs54iXF+PDUs7dElTg&#13;&#10;Mfwl4JdB9kMuwwq3t5VXHYLQBITJ9RyUuIuZ6AIhTm5B55n+j5D/AAAA//8DAFBLAQItABQABgAI&#13;&#10;AAAAIQC2gziS/gAAAOEBAAATAAAAAAAAAAAAAAAAAAAAAABbQ29udGVudF9UeXBlc10ueG1sUEsB&#13;&#10;Ai0AFAAGAAgAAAAhADj9If/WAAAAlAEAAAsAAAAAAAAAAAAAAAAALwEAAF9yZWxzLy5yZWxzUEsB&#13;&#10;Ai0AFAAGAAgAAAAhALaQMoqQAgAAeAUAAA4AAAAAAAAAAAAAAAAALgIAAGRycy9lMm9Eb2MueG1s&#13;&#10;UEsBAi0AFAAGAAgAAAAhAP8SLv7hAAAACgEAAA8AAAAAAAAAAAAAAAAA6gQAAGRycy9kb3ducmV2&#13;&#10;LnhtbFBLBQYAAAAABAAEAPMAAAD4BQAAAAA=&#13;&#10;" fillcolor="#ce181e" stroked="f" strokeweight="3pt">
              <v:textbox>
                <w:txbxContent>
                  <w:p w14:paraId="47657FFD" w14:textId="77777777" w:rsidR="00E637EC" w:rsidRPr="00397DFB" w:rsidRDefault="00E637EC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67CEA" w14:textId="77777777" w:rsidR="007220C0" w:rsidRDefault="007220C0" w:rsidP="00E637EC">
      <w:r>
        <w:separator/>
      </w:r>
    </w:p>
  </w:footnote>
  <w:footnote w:type="continuationSeparator" w:id="0">
    <w:p w14:paraId="3A00809B" w14:textId="77777777" w:rsidR="007220C0" w:rsidRDefault="007220C0" w:rsidP="00E6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119"/>
      <w:gridCol w:w="3118"/>
    </w:tblGrid>
    <w:tr w:rsidR="00E637EC" w:rsidRPr="00032956" w14:paraId="16370B91" w14:textId="77777777" w:rsidTr="007039AC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2724937" w14:textId="77777777" w:rsidR="00E637EC" w:rsidRPr="00567495" w:rsidRDefault="00E637EC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056F94BB" w14:textId="156B3973" w:rsidR="00E637EC" w:rsidRPr="00032956" w:rsidRDefault="00C1145B" w:rsidP="00A35864">
          <w:pPr>
            <w:jc w:val="center"/>
            <w:rPr>
              <w:rFonts w:ascii="Aptos" w:hAnsi="Aptos"/>
              <w:b/>
              <w:iCs/>
              <w:sz w:val="32"/>
            </w:rPr>
          </w:pPr>
          <w:r w:rsidRPr="00C1145B">
            <w:rPr>
              <w:rFonts w:ascii="Aptos" w:hAnsi="Aptos"/>
              <w:b/>
              <w:iCs/>
              <w:szCs w:val="20"/>
            </w:rPr>
            <w:t>Registar zapažanja i postupanja</w:t>
          </w:r>
          <w:r>
            <w:rPr>
              <w:rFonts w:ascii="Aptos" w:hAnsi="Aptos"/>
              <w:b/>
              <w:iCs/>
              <w:szCs w:val="20"/>
            </w:rPr>
          </w:r>
          <w:r w:rsidRPr="00C1145B">
            <w:rPr>
              <w:rFonts w:ascii="Aptos" w:hAnsi="Aptos"/>
              <w:b/>
              <w:iCs/>
              <w:szCs w:val="20"/>
            </w:rPr>
          </w:r>
        </w:p>
      </w:tc>
      <w:tc>
        <w:tcPr>
          <w:tcW w:w="3118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5DB88FD" w14:textId="67A10430" w:rsidR="008E7651" w:rsidRPr="008E7651" w:rsidRDefault="008E7651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Oznaka dokumenta: REG-ZAP-01</w:t>
          </w:r>
          <w:r w:rsidR="00C1456F">
            <w:rPr>
              <w:rFonts w:ascii="Aptos" w:hAnsi="Aptos"/>
              <w:b/>
              <w:bCs/>
              <w:sz w:val="18"/>
              <w:szCs w:val="18"/>
            </w:rPr>
          </w:r>
          <w:r w:rsidRPr="008E7651">
            <w:rPr>
              <w:rFonts w:ascii="Aptos" w:hAnsi="Aptos"/>
              <w:b/>
              <w:bCs/>
              <w:sz w:val="18"/>
              <w:szCs w:val="18"/>
            </w:rPr>
          </w:r>
          <w:r w:rsidR="00C1145B">
            <w:rPr>
              <w:rFonts w:ascii="Aptos" w:hAnsi="Aptos"/>
              <w:b/>
              <w:bCs/>
              <w:sz w:val="18"/>
              <w:szCs w:val="18"/>
            </w:rPr>
          </w:r>
        </w:p>
        <w:p w14:paraId="24A983EE" w14:textId="51CB0DC1" w:rsidR="00087A0B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   1/2</w:t>
          </w:r>
          <w:r w:rsidRPr="008E7651">
            <w:rPr>
              <w:rFonts w:ascii="Aptos" w:hAnsi="Aptos"/>
              <w:snapToGrid w:val="0"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</w:p>
      </w:tc>
    </w:tr>
    <w:tr w:rsidR="00E637EC" w:rsidRPr="00032956" w14:paraId="1DDFE4F1" w14:textId="77777777" w:rsidTr="007039AC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58C385CD" w14:textId="77777777" w:rsidR="00E637EC" w:rsidRDefault="00E637EC" w:rsidP="00E637EC">
          <w:pPr>
            <w:jc w:val="center"/>
          </w:pPr>
        </w:p>
      </w:tc>
      <w:tc>
        <w:tcPr>
          <w:tcW w:w="3119" w:type="dxa"/>
          <w:vMerge/>
          <w:tcBorders>
            <w:top w:val="nil"/>
            <w:bottom w:val="single" w:sz="12" w:space="0" w:color="auto"/>
          </w:tcBorders>
          <w:vAlign w:val="center"/>
        </w:tcPr>
        <w:p w14:paraId="5FF0F84A" w14:textId="77777777" w:rsidR="00E637EC" w:rsidRPr="00032956" w:rsidRDefault="00E637EC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11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A722186" w14:textId="77777777" w:rsidR="00E637EC" w:rsidRPr="008E7651" w:rsidRDefault="00E637EC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77CE812" w14:textId="77777777" w:rsidR="00E637EC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b/>
              <w:sz w:val="18"/>
              <w:szCs w:val="18"/>
            </w:rPr>
            <w:t xml:space="preserve">1.2 / 25.09.2026.</w:t>
          </w:r>
        </w:p>
      </w:tc>
    </w:tr>
  </w:tbl>
  <w:p w14:paraId="36F4B044" w14:textId="77777777" w:rsidR="00E637EC" w:rsidRPr="00F52312" w:rsidRDefault="00E637EC" w:rsidP="00E637EC">
    <w:pPr>
      <w:pStyle w:val="Header"/>
      <w:rPr>
        <w:sz w:val="15"/>
        <w:szCs w:val="15"/>
      </w:rP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A61"/>
    <w:multiLevelType w:val="multilevel"/>
    <w:tmpl w:val="EA66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32F4D"/>
    <w:multiLevelType w:val="multilevel"/>
    <w:tmpl w:val="B68E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CC07A9"/>
    <w:multiLevelType w:val="multilevel"/>
    <w:tmpl w:val="296C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23017E"/>
    <w:multiLevelType w:val="multilevel"/>
    <w:tmpl w:val="BE54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06B77"/>
    <w:multiLevelType w:val="multilevel"/>
    <w:tmpl w:val="E7369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3B13F7"/>
    <w:multiLevelType w:val="multilevel"/>
    <w:tmpl w:val="3B96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242C1E"/>
    <w:multiLevelType w:val="multilevel"/>
    <w:tmpl w:val="4F4C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0F7D4A"/>
    <w:multiLevelType w:val="multilevel"/>
    <w:tmpl w:val="933CE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671C2C"/>
    <w:multiLevelType w:val="multilevel"/>
    <w:tmpl w:val="0CA4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8B158C"/>
    <w:multiLevelType w:val="multilevel"/>
    <w:tmpl w:val="A48C1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B06E02"/>
    <w:multiLevelType w:val="multilevel"/>
    <w:tmpl w:val="01D8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C281AF2"/>
    <w:multiLevelType w:val="multilevel"/>
    <w:tmpl w:val="CD16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E614AC"/>
    <w:multiLevelType w:val="multilevel"/>
    <w:tmpl w:val="68DE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7011F5"/>
    <w:multiLevelType w:val="multilevel"/>
    <w:tmpl w:val="111E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78331B"/>
    <w:multiLevelType w:val="multilevel"/>
    <w:tmpl w:val="C608D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6D5518"/>
    <w:multiLevelType w:val="multilevel"/>
    <w:tmpl w:val="8C089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D428EE"/>
    <w:multiLevelType w:val="multilevel"/>
    <w:tmpl w:val="FF82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590D7C"/>
    <w:multiLevelType w:val="multilevel"/>
    <w:tmpl w:val="F2D21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CA04BBD"/>
    <w:multiLevelType w:val="multilevel"/>
    <w:tmpl w:val="D12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FE76B7"/>
    <w:multiLevelType w:val="multilevel"/>
    <w:tmpl w:val="5D1A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566B0B"/>
    <w:multiLevelType w:val="multilevel"/>
    <w:tmpl w:val="A148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9C6B5A"/>
    <w:multiLevelType w:val="multilevel"/>
    <w:tmpl w:val="4338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CA53AD"/>
    <w:multiLevelType w:val="multilevel"/>
    <w:tmpl w:val="B4BC1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627491"/>
    <w:multiLevelType w:val="multilevel"/>
    <w:tmpl w:val="64EC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D648A4"/>
    <w:multiLevelType w:val="multilevel"/>
    <w:tmpl w:val="18CC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EF10BE"/>
    <w:multiLevelType w:val="multilevel"/>
    <w:tmpl w:val="1E445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BD0BA9"/>
    <w:multiLevelType w:val="multilevel"/>
    <w:tmpl w:val="E2DE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E81107"/>
    <w:multiLevelType w:val="multilevel"/>
    <w:tmpl w:val="B47EB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0C6F38"/>
    <w:multiLevelType w:val="multilevel"/>
    <w:tmpl w:val="2A5A4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CF0ED7"/>
    <w:multiLevelType w:val="multilevel"/>
    <w:tmpl w:val="F4561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F26A3A"/>
    <w:multiLevelType w:val="hybridMultilevel"/>
    <w:tmpl w:val="F7AC2E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76196C"/>
    <w:multiLevelType w:val="multilevel"/>
    <w:tmpl w:val="0B24B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C1252D"/>
    <w:multiLevelType w:val="multilevel"/>
    <w:tmpl w:val="E3E8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EE4C88"/>
    <w:multiLevelType w:val="multilevel"/>
    <w:tmpl w:val="669E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FD0187"/>
    <w:multiLevelType w:val="multilevel"/>
    <w:tmpl w:val="730C3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1459A4"/>
    <w:multiLevelType w:val="multilevel"/>
    <w:tmpl w:val="3E2A2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A670F1"/>
    <w:multiLevelType w:val="multilevel"/>
    <w:tmpl w:val="4D50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23CF3"/>
    <w:multiLevelType w:val="multilevel"/>
    <w:tmpl w:val="FED6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514702">
    <w:abstractNumId w:val="19"/>
  </w:num>
  <w:num w:numId="2" w16cid:durableId="438990137">
    <w:abstractNumId w:val="11"/>
  </w:num>
  <w:num w:numId="3" w16cid:durableId="1011029388">
    <w:abstractNumId w:val="5"/>
  </w:num>
  <w:num w:numId="4" w16cid:durableId="1620526172">
    <w:abstractNumId w:val="25"/>
  </w:num>
  <w:num w:numId="5" w16cid:durableId="262032625">
    <w:abstractNumId w:val="8"/>
  </w:num>
  <w:num w:numId="6" w16cid:durableId="1745374287">
    <w:abstractNumId w:val="35"/>
  </w:num>
  <w:num w:numId="7" w16cid:durableId="1683777733">
    <w:abstractNumId w:val="14"/>
  </w:num>
  <w:num w:numId="8" w16cid:durableId="1998067368">
    <w:abstractNumId w:val="3"/>
  </w:num>
  <w:num w:numId="9" w16cid:durableId="259143331">
    <w:abstractNumId w:val="28"/>
  </w:num>
  <w:num w:numId="10" w16cid:durableId="644314117">
    <w:abstractNumId w:val="13"/>
  </w:num>
  <w:num w:numId="11" w16cid:durableId="538275592">
    <w:abstractNumId w:val="18"/>
  </w:num>
  <w:num w:numId="12" w16cid:durableId="999962171">
    <w:abstractNumId w:val="27"/>
  </w:num>
  <w:num w:numId="13" w16cid:durableId="1154374129">
    <w:abstractNumId w:val="6"/>
  </w:num>
  <w:num w:numId="14" w16cid:durableId="84304273">
    <w:abstractNumId w:val="21"/>
  </w:num>
  <w:num w:numId="15" w16cid:durableId="1036005457">
    <w:abstractNumId w:val="23"/>
  </w:num>
  <w:num w:numId="16" w16cid:durableId="236794672">
    <w:abstractNumId w:val="20"/>
  </w:num>
  <w:num w:numId="17" w16cid:durableId="624238956">
    <w:abstractNumId w:val="34"/>
  </w:num>
  <w:num w:numId="18" w16cid:durableId="1347636705">
    <w:abstractNumId w:val="37"/>
  </w:num>
  <w:num w:numId="19" w16cid:durableId="1764060701">
    <w:abstractNumId w:val="29"/>
  </w:num>
  <w:num w:numId="20" w16cid:durableId="641739793">
    <w:abstractNumId w:val="1"/>
  </w:num>
  <w:num w:numId="21" w16cid:durableId="547449709">
    <w:abstractNumId w:val="15"/>
  </w:num>
  <w:num w:numId="22" w16cid:durableId="1781022258">
    <w:abstractNumId w:val="39"/>
  </w:num>
  <w:num w:numId="23" w16cid:durableId="1081608049">
    <w:abstractNumId w:val="12"/>
  </w:num>
  <w:num w:numId="24" w16cid:durableId="572813458">
    <w:abstractNumId w:val="32"/>
  </w:num>
  <w:num w:numId="25" w16cid:durableId="872116431">
    <w:abstractNumId w:val="19"/>
  </w:num>
  <w:num w:numId="26" w16cid:durableId="386228906">
    <w:abstractNumId w:val="19"/>
  </w:num>
  <w:num w:numId="27" w16cid:durableId="624970988">
    <w:abstractNumId w:val="17"/>
  </w:num>
  <w:num w:numId="28" w16cid:durableId="2115635591">
    <w:abstractNumId w:val="31"/>
  </w:num>
  <w:num w:numId="29" w16cid:durableId="1498424056">
    <w:abstractNumId w:val="9"/>
  </w:num>
  <w:num w:numId="30" w16cid:durableId="1851216390">
    <w:abstractNumId w:val="16"/>
  </w:num>
  <w:num w:numId="31" w16cid:durableId="89929987">
    <w:abstractNumId w:val="36"/>
  </w:num>
  <w:num w:numId="32" w16cid:durableId="1003095662">
    <w:abstractNumId w:val="19"/>
  </w:num>
  <w:num w:numId="33" w16cid:durableId="1980529191">
    <w:abstractNumId w:val="24"/>
  </w:num>
  <w:num w:numId="34" w16cid:durableId="260602181">
    <w:abstractNumId w:val="33"/>
  </w:num>
  <w:num w:numId="35" w16cid:durableId="1007177745">
    <w:abstractNumId w:val="26"/>
  </w:num>
  <w:num w:numId="36" w16cid:durableId="398094783">
    <w:abstractNumId w:val="22"/>
  </w:num>
  <w:num w:numId="37" w16cid:durableId="1137262475">
    <w:abstractNumId w:val="38"/>
  </w:num>
  <w:num w:numId="38" w16cid:durableId="853767716">
    <w:abstractNumId w:val="19"/>
  </w:num>
  <w:num w:numId="39" w16cid:durableId="1643777737">
    <w:abstractNumId w:val="4"/>
  </w:num>
  <w:num w:numId="40" w16cid:durableId="1402405285">
    <w:abstractNumId w:val="30"/>
  </w:num>
  <w:num w:numId="41" w16cid:durableId="897017294">
    <w:abstractNumId w:val="10"/>
  </w:num>
  <w:num w:numId="42" w16cid:durableId="2046057803">
    <w:abstractNumId w:val="0"/>
  </w:num>
  <w:num w:numId="43" w16cid:durableId="373391295">
    <w:abstractNumId w:val="7"/>
  </w:num>
  <w:num w:numId="44" w16cid:durableId="214702314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263E3"/>
    <w:rsid w:val="0003400D"/>
    <w:rsid w:val="00047F94"/>
    <w:rsid w:val="00072A25"/>
    <w:rsid w:val="00074EAB"/>
    <w:rsid w:val="00077212"/>
    <w:rsid w:val="00082EBA"/>
    <w:rsid w:val="00087A0B"/>
    <w:rsid w:val="000B0C87"/>
    <w:rsid w:val="000B39BB"/>
    <w:rsid w:val="000C46E9"/>
    <w:rsid w:val="000D136C"/>
    <w:rsid w:val="000D212D"/>
    <w:rsid w:val="000E7700"/>
    <w:rsid w:val="00115212"/>
    <w:rsid w:val="00127E52"/>
    <w:rsid w:val="00137813"/>
    <w:rsid w:val="00146F67"/>
    <w:rsid w:val="00173FE4"/>
    <w:rsid w:val="001A6E01"/>
    <w:rsid w:val="001D2A8B"/>
    <w:rsid w:val="001E0A27"/>
    <w:rsid w:val="002228D9"/>
    <w:rsid w:val="00222C5D"/>
    <w:rsid w:val="00254C12"/>
    <w:rsid w:val="00260B99"/>
    <w:rsid w:val="00263E55"/>
    <w:rsid w:val="00264CB2"/>
    <w:rsid w:val="002C258E"/>
    <w:rsid w:val="002D0FA6"/>
    <w:rsid w:val="002E04AD"/>
    <w:rsid w:val="002F0BB4"/>
    <w:rsid w:val="002F141A"/>
    <w:rsid w:val="00302829"/>
    <w:rsid w:val="0031190C"/>
    <w:rsid w:val="00313077"/>
    <w:rsid w:val="003208C3"/>
    <w:rsid w:val="00354155"/>
    <w:rsid w:val="0036134A"/>
    <w:rsid w:val="00391D1D"/>
    <w:rsid w:val="00393654"/>
    <w:rsid w:val="00397DFB"/>
    <w:rsid w:val="003C0F17"/>
    <w:rsid w:val="003D0472"/>
    <w:rsid w:val="00403916"/>
    <w:rsid w:val="004158E7"/>
    <w:rsid w:val="0042263F"/>
    <w:rsid w:val="00425E97"/>
    <w:rsid w:val="00447582"/>
    <w:rsid w:val="004507B9"/>
    <w:rsid w:val="004606D0"/>
    <w:rsid w:val="00472072"/>
    <w:rsid w:val="00474AD6"/>
    <w:rsid w:val="004930D1"/>
    <w:rsid w:val="00497AFF"/>
    <w:rsid w:val="004A1574"/>
    <w:rsid w:val="004A15D3"/>
    <w:rsid w:val="004A1AE0"/>
    <w:rsid w:val="004D397A"/>
    <w:rsid w:val="004E3140"/>
    <w:rsid w:val="004E3BC5"/>
    <w:rsid w:val="00504542"/>
    <w:rsid w:val="00520975"/>
    <w:rsid w:val="005332FC"/>
    <w:rsid w:val="00544B60"/>
    <w:rsid w:val="005518B9"/>
    <w:rsid w:val="005520B7"/>
    <w:rsid w:val="005526B1"/>
    <w:rsid w:val="005647C8"/>
    <w:rsid w:val="00566C5C"/>
    <w:rsid w:val="005739F8"/>
    <w:rsid w:val="00573DE2"/>
    <w:rsid w:val="00576F9D"/>
    <w:rsid w:val="005C606A"/>
    <w:rsid w:val="005C612D"/>
    <w:rsid w:val="005C7262"/>
    <w:rsid w:val="005D160A"/>
    <w:rsid w:val="005D1FB9"/>
    <w:rsid w:val="005F4415"/>
    <w:rsid w:val="005F5BAC"/>
    <w:rsid w:val="00604B67"/>
    <w:rsid w:val="00622F7C"/>
    <w:rsid w:val="006441F2"/>
    <w:rsid w:val="006516AF"/>
    <w:rsid w:val="0065739B"/>
    <w:rsid w:val="00662FC0"/>
    <w:rsid w:val="0067552B"/>
    <w:rsid w:val="006A3790"/>
    <w:rsid w:val="006B61EE"/>
    <w:rsid w:val="006C4751"/>
    <w:rsid w:val="007039AC"/>
    <w:rsid w:val="00706CCA"/>
    <w:rsid w:val="007220C0"/>
    <w:rsid w:val="00746221"/>
    <w:rsid w:val="00765643"/>
    <w:rsid w:val="0078189F"/>
    <w:rsid w:val="007B2B8C"/>
    <w:rsid w:val="007C205F"/>
    <w:rsid w:val="007E277B"/>
    <w:rsid w:val="007E5D7A"/>
    <w:rsid w:val="007F4535"/>
    <w:rsid w:val="007F4B03"/>
    <w:rsid w:val="00806F57"/>
    <w:rsid w:val="008213C4"/>
    <w:rsid w:val="00864FA0"/>
    <w:rsid w:val="00877555"/>
    <w:rsid w:val="00892B99"/>
    <w:rsid w:val="0089619F"/>
    <w:rsid w:val="008B4C96"/>
    <w:rsid w:val="008B5752"/>
    <w:rsid w:val="008C00AF"/>
    <w:rsid w:val="008C5A02"/>
    <w:rsid w:val="008E613A"/>
    <w:rsid w:val="008E7651"/>
    <w:rsid w:val="00907105"/>
    <w:rsid w:val="0092580D"/>
    <w:rsid w:val="009321A2"/>
    <w:rsid w:val="009424A2"/>
    <w:rsid w:val="009578B1"/>
    <w:rsid w:val="00966838"/>
    <w:rsid w:val="009A1F20"/>
    <w:rsid w:val="009A350A"/>
    <w:rsid w:val="009C5215"/>
    <w:rsid w:val="009E0151"/>
    <w:rsid w:val="00A221E2"/>
    <w:rsid w:val="00A34D49"/>
    <w:rsid w:val="00A35864"/>
    <w:rsid w:val="00A4137A"/>
    <w:rsid w:val="00A4371A"/>
    <w:rsid w:val="00A60536"/>
    <w:rsid w:val="00A66CC5"/>
    <w:rsid w:val="00A67E7C"/>
    <w:rsid w:val="00A71597"/>
    <w:rsid w:val="00A725DE"/>
    <w:rsid w:val="00A7658C"/>
    <w:rsid w:val="00A94D26"/>
    <w:rsid w:val="00A9555F"/>
    <w:rsid w:val="00AA6A1A"/>
    <w:rsid w:val="00AA7DDB"/>
    <w:rsid w:val="00AB3261"/>
    <w:rsid w:val="00AC683A"/>
    <w:rsid w:val="00AC6C72"/>
    <w:rsid w:val="00AE4995"/>
    <w:rsid w:val="00AE6414"/>
    <w:rsid w:val="00B0118B"/>
    <w:rsid w:val="00B14491"/>
    <w:rsid w:val="00B15323"/>
    <w:rsid w:val="00B356E1"/>
    <w:rsid w:val="00B37BFD"/>
    <w:rsid w:val="00B43090"/>
    <w:rsid w:val="00B67E40"/>
    <w:rsid w:val="00B77707"/>
    <w:rsid w:val="00B82045"/>
    <w:rsid w:val="00B8549F"/>
    <w:rsid w:val="00B9253C"/>
    <w:rsid w:val="00B92792"/>
    <w:rsid w:val="00B9329E"/>
    <w:rsid w:val="00BA588B"/>
    <w:rsid w:val="00BB60C5"/>
    <w:rsid w:val="00BC638B"/>
    <w:rsid w:val="00BE2B4D"/>
    <w:rsid w:val="00BF4605"/>
    <w:rsid w:val="00C044E7"/>
    <w:rsid w:val="00C1145B"/>
    <w:rsid w:val="00C1456F"/>
    <w:rsid w:val="00C15106"/>
    <w:rsid w:val="00C26EA9"/>
    <w:rsid w:val="00C351F9"/>
    <w:rsid w:val="00C664B3"/>
    <w:rsid w:val="00C77E60"/>
    <w:rsid w:val="00C8213D"/>
    <w:rsid w:val="00CC081D"/>
    <w:rsid w:val="00CD45D2"/>
    <w:rsid w:val="00CE2120"/>
    <w:rsid w:val="00CE48ED"/>
    <w:rsid w:val="00CE6BE7"/>
    <w:rsid w:val="00CF39B6"/>
    <w:rsid w:val="00CF45B2"/>
    <w:rsid w:val="00D06C4E"/>
    <w:rsid w:val="00D11D78"/>
    <w:rsid w:val="00D33768"/>
    <w:rsid w:val="00D637D4"/>
    <w:rsid w:val="00D85111"/>
    <w:rsid w:val="00DA36C2"/>
    <w:rsid w:val="00DA3F52"/>
    <w:rsid w:val="00DB1079"/>
    <w:rsid w:val="00DC18F4"/>
    <w:rsid w:val="00DD2118"/>
    <w:rsid w:val="00DE662C"/>
    <w:rsid w:val="00DF596A"/>
    <w:rsid w:val="00DF63EC"/>
    <w:rsid w:val="00E00C07"/>
    <w:rsid w:val="00E01A7B"/>
    <w:rsid w:val="00E02EF8"/>
    <w:rsid w:val="00E0780A"/>
    <w:rsid w:val="00E3683E"/>
    <w:rsid w:val="00E42D54"/>
    <w:rsid w:val="00E60D8B"/>
    <w:rsid w:val="00E637EC"/>
    <w:rsid w:val="00E66249"/>
    <w:rsid w:val="00E91910"/>
    <w:rsid w:val="00EA604F"/>
    <w:rsid w:val="00ED3878"/>
    <w:rsid w:val="00ED5EB3"/>
    <w:rsid w:val="00EF5975"/>
    <w:rsid w:val="00F140C7"/>
    <w:rsid w:val="00F24517"/>
    <w:rsid w:val="00F3105C"/>
    <w:rsid w:val="00F44D13"/>
    <w:rsid w:val="00F471D3"/>
    <w:rsid w:val="00F52312"/>
    <w:rsid w:val="00F60F8F"/>
    <w:rsid w:val="00F6243E"/>
    <w:rsid w:val="00F86913"/>
    <w:rsid w:val="00FA12EA"/>
    <w:rsid w:val="00FC1281"/>
    <w:rsid w:val="00FD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BC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3FE4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asciiTheme="minorHAnsi" w:hAnsiTheme="minorHAnsi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105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smallCaps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07105"/>
    <w:pPr>
      <w:keepNext/>
      <w:keepLines/>
      <w:numPr>
        <w:ilvl w:val="2"/>
        <w:numId w:val="1"/>
      </w:numPr>
      <w:spacing w:before="60" w:after="120"/>
      <w:outlineLvl w:val="2"/>
    </w:pPr>
    <w:rPr>
      <w:rFonts w:asciiTheme="minorHAnsi" w:eastAsiaTheme="majorEastAsia" w:hAnsiTheme="minorHAnsi" w:cstheme="majorBidi"/>
      <w:color w:val="CE181E"/>
      <w:sz w:val="22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7105"/>
    <w:rPr>
      <w:rFonts w:eastAsiaTheme="majorEastAsia" w:cstheme="majorBidi"/>
      <w:color w:val="CE181E"/>
      <w:kern w:val="0"/>
      <w:sz w:val="22"/>
      <w:lang w:eastAsia="hr-HR"/>
      <w14:ligatures w14:val="none"/>
    </w:rPr>
  </w:style>
  <w:style w:type="character" w:customStyle="1" w:styleId="Heading1Char">
    <w:name w:val="Heading 1 Char"/>
    <w:link w:val="Heading1"/>
    <w:uiPriority w:val="9"/>
    <w:rsid w:val="00173FE4"/>
    <w:rPr>
      <w:rFonts w:eastAsia="Times New Roman" w:cs="Times New Roman"/>
      <w:b/>
      <w:smallCaps/>
      <w:color w:val="CE181E"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07105"/>
    <w:rPr>
      <w:rFonts w:ascii="Aptos" w:eastAsiaTheme="majorEastAsia" w:hAnsi="Aptos" w:cstheme="majorBidi"/>
      <w:smallCaps/>
      <w:color w:val="CE181E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637E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2"/>
      </w:numPr>
    </w:pPr>
  </w:style>
  <w:style w:type="table" w:styleId="GridTable4-Accent2">
    <w:name w:val="Grid Table 4 Accent 2"/>
    <w:basedOn w:val="TableNormal"/>
    <w:uiPriority w:val="49"/>
    <w:rsid w:val="00173FE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Bara</dc:creator>
  <cp:keywords/>
  <dc:description/>
  <cp:lastModifiedBy>Daniel Bara</cp:lastModifiedBy>
  <cp:revision>5</cp:revision>
  <dcterms:created xsi:type="dcterms:W3CDTF">2025-11-29T20:08:00Z</dcterms:created>
  <dcterms:modified xsi:type="dcterms:W3CDTF">2025-11-29T20:15:00Z</dcterms:modified>
</cp:coreProperties>
</file>